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C7D5" w14:textId="29ED41D6" w:rsidR="002A0081" w:rsidRPr="0001181A" w:rsidRDefault="00697E7A" w:rsidP="00FE15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81A">
        <w:rPr>
          <w:rFonts w:ascii="Arial" w:hAnsi="Arial" w:cs="Arial"/>
          <w:b/>
          <w:sz w:val="24"/>
          <w:szCs w:val="24"/>
        </w:rPr>
        <w:t>…(</w:t>
      </w:r>
      <w:r w:rsidRPr="00697E7A">
        <w:rPr>
          <w:rFonts w:ascii="Arial" w:hAnsi="Arial" w:cs="Arial"/>
          <w:b/>
          <w:sz w:val="24"/>
          <w:szCs w:val="24"/>
          <w:lang w:val="en-US"/>
        </w:rPr>
        <w:t>I</w:t>
      </w:r>
      <w:r w:rsidRPr="0001181A">
        <w:rPr>
          <w:rFonts w:ascii="Arial" w:hAnsi="Arial" w:cs="Arial"/>
          <w:b/>
          <w:sz w:val="24"/>
          <w:szCs w:val="24"/>
        </w:rPr>
        <w:t>)/202</w:t>
      </w:r>
      <w:r w:rsidR="00F63F5D">
        <w:rPr>
          <w:rFonts w:ascii="Arial" w:hAnsi="Arial" w:cs="Arial"/>
          <w:b/>
          <w:sz w:val="24"/>
          <w:szCs w:val="24"/>
        </w:rPr>
        <w:t>5</w:t>
      </w:r>
    </w:p>
    <w:p w14:paraId="3A5B3A93" w14:textId="2C5EE1F1" w:rsidR="003E6327" w:rsidRDefault="00FE15D8" w:rsidP="51D1B74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620FB1CC">
        <w:rPr>
          <w:rFonts w:ascii="Arial" w:hAnsi="Arial" w:cs="Arial"/>
          <w:b/>
          <w:bCs/>
          <w:sz w:val="24"/>
          <w:szCs w:val="24"/>
        </w:rPr>
        <w:t xml:space="preserve">ΝΟΜΟΣ ΠΟΥ ΤΡΟΠΟΠΟΙΕΙ </w:t>
      </w:r>
      <w:r w:rsidR="00F05CC1" w:rsidRPr="620FB1CC">
        <w:rPr>
          <w:rFonts w:ascii="Arial" w:hAnsi="Arial" w:cs="Arial"/>
          <w:b/>
          <w:bCs/>
          <w:sz w:val="24"/>
          <w:szCs w:val="24"/>
        </w:rPr>
        <w:t>ΤΟΥΣ</w:t>
      </w:r>
      <w:r w:rsidRPr="620FB1CC">
        <w:rPr>
          <w:rFonts w:ascii="Arial" w:hAnsi="Arial" w:cs="Arial"/>
          <w:b/>
          <w:bCs/>
          <w:sz w:val="24"/>
          <w:szCs w:val="24"/>
        </w:rPr>
        <w:t xml:space="preserve"> ΠΕΡΙ ΡΥΘΜΙΣΗΣ ΤΗΣ ΑΓΟΡΑΣ ΗΛΕΚΤΡΙΣΜΟΥ ΝΟΜΟ</w:t>
      </w:r>
      <w:r w:rsidR="00F05CC1" w:rsidRPr="620FB1CC">
        <w:rPr>
          <w:rFonts w:ascii="Arial" w:hAnsi="Arial" w:cs="Arial"/>
          <w:b/>
          <w:bCs/>
          <w:sz w:val="24"/>
          <w:szCs w:val="24"/>
        </w:rPr>
        <w:t>ΥΣ ΤΟΥ 2021 ΕΩΣ 2023</w:t>
      </w:r>
    </w:p>
    <w:p w14:paraId="4F0EB3CA" w14:textId="77777777" w:rsidR="00DC7DC3" w:rsidRPr="00697E7A" w:rsidRDefault="00DC7DC3" w:rsidP="51D1B74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246" w:type="dxa"/>
        <w:tblLayout w:type="fixed"/>
        <w:tblLook w:val="04A0" w:firstRow="1" w:lastRow="0" w:firstColumn="1" w:lastColumn="0" w:noHBand="0" w:noVBand="1"/>
      </w:tblPr>
      <w:tblGrid>
        <w:gridCol w:w="1391"/>
        <w:gridCol w:w="832"/>
        <w:gridCol w:w="700"/>
        <w:gridCol w:w="838"/>
        <w:gridCol w:w="6198"/>
        <w:gridCol w:w="287"/>
      </w:tblGrid>
      <w:tr w:rsidR="003E6327" w:rsidRPr="00FF0DA7" w14:paraId="6524EDED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58E2E468" w14:textId="6316395B" w:rsidR="003E6327" w:rsidRPr="00FF0DA7" w:rsidRDefault="003E6327" w:rsidP="00FF0D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F0DA7">
              <w:rPr>
                <w:rFonts w:ascii="Arial" w:hAnsi="Arial" w:cs="Arial"/>
                <w:sz w:val="18"/>
                <w:szCs w:val="18"/>
              </w:rPr>
              <w:t xml:space="preserve">Προοίμιο. </w:t>
            </w:r>
          </w:p>
          <w:p w14:paraId="4C8C0EBF" w14:textId="77777777" w:rsidR="00697E7A" w:rsidRPr="00FF0DA7" w:rsidRDefault="00697E7A" w:rsidP="00FF0DA7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7B863AA" w14:textId="7E3EDB84" w:rsidR="003E6327" w:rsidRPr="00FF0DA7" w:rsidRDefault="003E6327" w:rsidP="00FF0DA7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8" w:type="dxa"/>
            <w:gridSpan w:val="4"/>
          </w:tcPr>
          <w:p w14:paraId="37D44341" w14:textId="3E48FDE1" w:rsidR="003E6327" w:rsidRPr="00FF0DA7" w:rsidRDefault="00E601C7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24"/>
                <w:szCs w:val="24"/>
              </w:rPr>
              <w:t xml:space="preserve">Επειδή </w:t>
            </w:r>
            <w:r w:rsidR="00445D43" w:rsidRPr="00FF0DA7">
              <w:rPr>
                <w:rFonts w:ascii="Arial" w:hAnsi="Arial" w:cs="Arial"/>
                <w:sz w:val="24"/>
                <w:szCs w:val="24"/>
              </w:rPr>
              <w:t xml:space="preserve">ο Διαχειριστής Συστήματος Μεταφοράς Κύπρου θα πρέπει να είναι σε θέση να συμμετέχει σε </w:t>
            </w:r>
            <w:r w:rsidR="00445D43">
              <w:rPr>
                <w:rFonts w:ascii="Arial" w:hAnsi="Arial" w:cs="Arial"/>
                <w:sz w:val="24"/>
                <w:szCs w:val="24"/>
              </w:rPr>
              <w:t>εταιρεία ή/και εταιρεία</w:t>
            </w:r>
            <w:r w:rsidR="00445D43" w:rsidRPr="00FF0DA7">
              <w:rPr>
                <w:rFonts w:ascii="Arial" w:hAnsi="Arial" w:cs="Arial"/>
                <w:sz w:val="24"/>
                <w:szCs w:val="24"/>
              </w:rPr>
              <w:t xml:space="preserve"> κράτους μέλους της Ένωσης κατόπιν απόφασης του Υπουργικού Συμβουλίου</w:t>
            </w:r>
            <w:r w:rsidR="00445D43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3E6327" w:rsidRPr="00FF0DA7" w14:paraId="0CB65273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54C88AB8" w14:textId="77777777" w:rsidR="003E6327" w:rsidRPr="00FF0DA7" w:rsidRDefault="003E6327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8" w:type="dxa"/>
            <w:gridSpan w:val="4"/>
          </w:tcPr>
          <w:p w14:paraId="2C7E84B8" w14:textId="77777777" w:rsidR="003E6327" w:rsidRPr="00FF0DA7" w:rsidRDefault="003E6327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327" w:rsidRPr="00FF0DA7" w14:paraId="02DF507F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4985C3D1" w14:textId="77777777" w:rsidR="003E6327" w:rsidRPr="00FF0DA7" w:rsidRDefault="003E6327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8" w:type="dxa"/>
            <w:gridSpan w:val="4"/>
          </w:tcPr>
          <w:p w14:paraId="2BB6120D" w14:textId="72225BC3" w:rsidR="003E6327" w:rsidRPr="00FF0DA7" w:rsidRDefault="00F63F5D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24"/>
                <w:szCs w:val="24"/>
              </w:rPr>
              <w:t>η</w:t>
            </w:r>
            <w:r w:rsidR="003E6327" w:rsidRPr="00FF0DA7">
              <w:rPr>
                <w:rFonts w:ascii="Arial" w:hAnsi="Arial" w:cs="Arial"/>
                <w:sz w:val="24"/>
                <w:szCs w:val="24"/>
              </w:rPr>
              <w:t xml:space="preserve"> Βουλή των Αντιπροσώπων ψηφίζει ως ακολούθως:</w:t>
            </w:r>
          </w:p>
        </w:tc>
      </w:tr>
      <w:tr w:rsidR="003E6327" w:rsidRPr="00FF0DA7" w14:paraId="6DB522FD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4C1FCE76" w14:textId="77777777" w:rsidR="003E6327" w:rsidRPr="00FF0DA7" w:rsidRDefault="003E6327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8" w:type="dxa"/>
            <w:gridSpan w:val="4"/>
          </w:tcPr>
          <w:p w14:paraId="7B4052CB" w14:textId="77777777" w:rsidR="003E6327" w:rsidRPr="00FF0DA7" w:rsidRDefault="003E6327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327" w:rsidRPr="00FF0DA7" w14:paraId="3D854A14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590C3DD1" w14:textId="77777777" w:rsidR="003E6327" w:rsidRPr="00FF0DA7" w:rsidRDefault="004777A2" w:rsidP="00FF0DA7">
            <w:pPr>
              <w:spacing w:after="0" w:line="360" w:lineRule="auto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 xml:space="preserve">Συνοπτικός τίτλος. </w:t>
            </w:r>
          </w:p>
          <w:p w14:paraId="45AC6925" w14:textId="37DE9A3A" w:rsidR="004777A2" w:rsidRPr="00FF0DA7" w:rsidRDefault="004777A2" w:rsidP="00FF0DA7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0DA7">
              <w:rPr>
                <w:rFonts w:ascii="Arial" w:hAnsi="Arial" w:cs="Arial"/>
                <w:sz w:val="16"/>
                <w:szCs w:val="16"/>
              </w:rPr>
              <w:t>130(Ι) του 2021</w:t>
            </w:r>
          </w:p>
          <w:p w14:paraId="024A91B4" w14:textId="6ECF0EFE" w:rsidR="004777A2" w:rsidRPr="00FF0DA7" w:rsidRDefault="004777A2" w:rsidP="00FF0DA7">
            <w:pPr>
              <w:spacing w:after="0"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0DA7">
              <w:rPr>
                <w:rFonts w:ascii="Arial" w:hAnsi="Arial" w:cs="Arial"/>
                <w:sz w:val="16"/>
                <w:szCs w:val="16"/>
              </w:rPr>
              <w:t>224(Ι) του 2022</w:t>
            </w:r>
            <w:r w:rsidR="00DC7DC3" w:rsidRPr="00FF0DA7">
              <w:rPr>
                <w:rFonts w:ascii="Arial" w:hAnsi="Arial" w:cs="Arial"/>
                <w:sz w:val="16"/>
                <w:szCs w:val="16"/>
              </w:rPr>
              <w:t xml:space="preserve"> και</w:t>
            </w:r>
          </w:p>
          <w:p w14:paraId="01C45107" w14:textId="77777777" w:rsidR="004777A2" w:rsidRPr="00FF0DA7" w:rsidRDefault="004777A2" w:rsidP="00FF0DA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16"/>
                <w:szCs w:val="16"/>
              </w:rPr>
              <w:t>44(Ι) του 2023.</w:t>
            </w:r>
          </w:p>
        </w:tc>
        <w:tc>
          <w:tcPr>
            <w:tcW w:w="8568" w:type="dxa"/>
            <w:gridSpan w:val="4"/>
          </w:tcPr>
          <w:p w14:paraId="63653A95" w14:textId="670E85BF" w:rsidR="003E6327" w:rsidRPr="00FF0DA7" w:rsidRDefault="003E6327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24"/>
                <w:szCs w:val="24"/>
              </w:rPr>
              <w:t>1. Ο παρών Νόμος θα αναφέρεται ως ο περί Ρύθμισης της Αγοράς Ηλεκτρισμού (Τροποποιητικός) Νόμος του 202</w:t>
            </w:r>
            <w:r w:rsidR="00F63F5D" w:rsidRPr="00FF0DA7">
              <w:rPr>
                <w:rFonts w:ascii="Arial" w:hAnsi="Arial" w:cs="Arial"/>
                <w:sz w:val="24"/>
                <w:szCs w:val="24"/>
              </w:rPr>
              <w:t>5</w:t>
            </w:r>
            <w:r w:rsidRPr="00FF0DA7">
              <w:rPr>
                <w:rFonts w:ascii="Arial" w:hAnsi="Arial" w:cs="Arial"/>
                <w:sz w:val="24"/>
                <w:szCs w:val="24"/>
              </w:rPr>
              <w:t xml:space="preserve"> και θα διαβιβάζεται μαζί με το</w:t>
            </w:r>
            <w:r w:rsidR="00646A56" w:rsidRPr="00FF0DA7">
              <w:rPr>
                <w:rFonts w:ascii="Arial" w:hAnsi="Arial" w:cs="Arial"/>
                <w:sz w:val="24"/>
                <w:szCs w:val="24"/>
              </w:rPr>
              <w:t>υς</w:t>
            </w:r>
            <w:r w:rsidRPr="00FF0DA7">
              <w:rPr>
                <w:rFonts w:ascii="Arial" w:hAnsi="Arial" w:cs="Arial"/>
                <w:sz w:val="24"/>
                <w:szCs w:val="24"/>
              </w:rPr>
              <w:t xml:space="preserve"> περί </w:t>
            </w:r>
            <w:r w:rsidR="004777A2" w:rsidRPr="00FF0DA7">
              <w:rPr>
                <w:rFonts w:ascii="Arial" w:hAnsi="Arial" w:cs="Arial"/>
                <w:sz w:val="24"/>
                <w:szCs w:val="24"/>
              </w:rPr>
              <w:t>Ρύθμισης της Αγοράς Ηλεκτρισμού Νόμο</w:t>
            </w:r>
            <w:r w:rsidR="00646A56" w:rsidRPr="00FF0DA7">
              <w:rPr>
                <w:rFonts w:ascii="Arial" w:hAnsi="Arial" w:cs="Arial"/>
                <w:sz w:val="24"/>
                <w:szCs w:val="24"/>
              </w:rPr>
              <w:t>υς του 2021 έως 2023</w:t>
            </w:r>
            <w:r w:rsidR="004777A2" w:rsidRPr="00FF0DA7">
              <w:rPr>
                <w:rFonts w:ascii="Arial" w:hAnsi="Arial" w:cs="Arial"/>
                <w:sz w:val="24"/>
                <w:szCs w:val="24"/>
              </w:rPr>
              <w:t xml:space="preserve"> (που στο εξής θα αναφέρεται ως «ο βασικός νόμος»)</w:t>
            </w:r>
            <w:r w:rsidR="00646A56" w:rsidRPr="00FF0DA7">
              <w:rPr>
                <w:rFonts w:ascii="Arial" w:hAnsi="Arial" w:cs="Arial"/>
                <w:sz w:val="24"/>
                <w:szCs w:val="24"/>
              </w:rPr>
              <w:t xml:space="preserve"> και ο βασικός νόμος και ο παρών νόμος θα αναφέρονται μαζί ως</w:t>
            </w:r>
            <w:r w:rsidR="00646A56" w:rsidRPr="00FF0DA7">
              <w:rPr>
                <w:rFonts w:ascii="Arial" w:hAnsi="Arial" w:cs="Arial"/>
              </w:rPr>
              <w:t xml:space="preserve"> οι </w:t>
            </w:r>
            <w:r w:rsidR="00646A56" w:rsidRPr="00FF0DA7">
              <w:rPr>
                <w:rFonts w:ascii="Arial" w:hAnsi="Arial" w:cs="Arial"/>
                <w:sz w:val="24"/>
                <w:szCs w:val="24"/>
              </w:rPr>
              <w:t>περί Ρύθμισης της Αγοράς Ηλεκτρισμού Νόμοι του 2021 έως 202</w:t>
            </w:r>
            <w:r w:rsidR="00510C5E" w:rsidRPr="00FF0DA7">
              <w:rPr>
                <w:rFonts w:ascii="Arial" w:hAnsi="Arial" w:cs="Arial"/>
                <w:sz w:val="24"/>
                <w:szCs w:val="24"/>
              </w:rPr>
              <w:t>5</w:t>
            </w:r>
            <w:r w:rsidR="004777A2" w:rsidRPr="00FF0DA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E11F5" w:rsidRPr="00FF0DA7" w14:paraId="10DA6E9C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0B880502" w14:textId="77777777" w:rsidR="00DE11F5" w:rsidRPr="00FF0DA7" w:rsidRDefault="00DE11F5" w:rsidP="00FF0DA7">
            <w:pPr>
              <w:spacing w:after="0" w:line="36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568" w:type="dxa"/>
            <w:gridSpan w:val="4"/>
          </w:tcPr>
          <w:p w14:paraId="7C34CE47" w14:textId="77777777" w:rsidR="00DE11F5" w:rsidRPr="00FF0DA7" w:rsidRDefault="00DE11F5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1F5" w:rsidRPr="00FF0DA7" w14:paraId="2EA64741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5DA23B44" w14:textId="6CCDA3CA" w:rsidR="00DE11F5" w:rsidRPr="00FF0DA7" w:rsidRDefault="00E22826" w:rsidP="00FF0DA7">
            <w:pPr>
              <w:spacing w:after="0" w:line="360" w:lineRule="auto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0"/>
              </w:rPr>
              <w:t>Τροποποίηση του άρθρου 2 του βασικού νόμου.</w:t>
            </w:r>
          </w:p>
        </w:tc>
        <w:tc>
          <w:tcPr>
            <w:tcW w:w="8568" w:type="dxa"/>
            <w:gridSpan w:val="4"/>
          </w:tcPr>
          <w:p w14:paraId="33C88515" w14:textId="787BBFCA" w:rsidR="00DE11F5" w:rsidRPr="00FF0DA7" w:rsidRDefault="00DE11F5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24"/>
                <w:szCs w:val="24"/>
              </w:rPr>
              <w:t xml:space="preserve">2. Το άρθρο 2 του βασικού νόμου τροποποιείται με την προσθήκη στην κατάλληλη αλφαβητική σειρά </w:t>
            </w:r>
            <w:r w:rsidR="004E4E48" w:rsidRPr="00FF0DA7">
              <w:rPr>
                <w:rFonts w:ascii="Arial" w:hAnsi="Arial" w:cs="Arial"/>
                <w:sz w:val="24"/>
                <w:szCs w:val="24"/>
              </w:rPr>
              <w:t>των</w:t>
            </w:r>
            <w:r w:rsidRPr="00FF0DA7">
              <w:rPr>
                <w:rFonts w:ascii="Arial" w:hAnsi="Arial" w:cs="Arial"/>
                <w:sz w:val="24"/>
                <w:szCs w:val="24"/>
              </w:rPr>
              <w:t xml:space="preserve"> ακόλουθ</w:t>
            </w:r>
            <w:r w:rsidR="004E4E48" w:rsidRPr="00FF0DA7">
              <w:rPr>
                <w:rFonts w:ascii="Arial" w:hAnsi="Arial" w:cs="Arial"/>
                <w:sz w:val="24"/>
                <w:szCs w:val="24"/>
              </w:rPr>
              <w:t>ων</w:t>
            </w:r>
            <w:r w:rsidRPr="00FF0DA7">
              <w:rPr>
                <w:rFonts w:ascii="Arial" w:hAnsi="Arial" w:cs="Arial"/>
                <w:sz w:val="24"/>
                <w:szCs w:val="24"/>
              </w:rPr>
              <w:t xml:space="preserve"> νέ</w:t>
            </w:r>
            <w:r w:rsidR="004E4E48" w:rsidRPr="00FF0DA7">
              <w:rPr>
                <w:rFonts w:ascii="Arial" w:hAnsi="Arial" w:cs="Arial"/>
                <w:sz w:val="24"/>
                <w:szCs w:val="24"/>
              </w:rPr>
              <w:t>ων</w:t>
            </w:r>
            <w:r w:rsidRPr="00FF0DA7">
              <w:rPr>
                <w:rFonts w:ascii="Arial" w:hAnsi="Arial" w:cs="Arial"/>
                <w:sz w:val="24"/>
                <w:szCs w:val="24"/>
              </w:rPr>
              <w:t xml:space="preserve"> όρ</w:t>
            </w:r>
            <w:r w:rsidR="004E4E48" w:rsidRPr="00FF0DA7">
              <w:rPr>
                <w:rFonts w:ascii="Arial" w:hAnsi="Arial" w:cs="Arial"/>
                <w:sz w:val="24"/>
                <w:szCs w:val="24"/>
              </w:rPr>
              <w:t>ων</w:t>
            </w:r>
            <w:r w:rsidRPr="00FF0DA7">
              <w:rPr>
                <w:rFonts w:ascii="Arial" w:hAnsi="Arial" w:cs="Arial"/>
                <w:sz w:val="24"/>
                <w:szCs w:val="24"/>
              </w:rPr>
              <w:t xml:space="preserve"> και τ</w:t>
            </w:r>
            <w:r w:rsidR="004E4E48" w:rsidRPr="00FF0DA7">
              <w:rPr>
                <w:rFonts w:ascii="Arial" w:hAnsi="Arial" w:cs="Arial"/>
                <w:sz w:val="24"/>
                <w:szCs w:val="24"/>
              </w:rPr>
              <w:t>ων ορισμών αυτών:</w:t>
            </w:r>
          </w:p>
        </w:tc>
      </w:tr>
      <w:tr w:rsidR="00DE11F5" w:rsidRPr="00FF0DA7" w14:paraId="4AB8D197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0F7DD00A" w14:textId="77777777" w:rsidR="00DE11F5" w:rsidRPr="00FF0DA7" w:rsidRDefault="00DE11F5" w:rsidP="00FF0DA7">
            <w:pPr>
              <w:spacing w:after="0" w:line="36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568" w:type="dxa"/>
            <w:gridSpan w:val="4"/>
          </w:tcPr>
          <w:p w14:paraId="68A2DB02" w14:textId="77777777" w:rsidR="00DE11F5" w:rsidRPr="00FF0DA7" w:rsidRDefault="00DE11F5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39" w:rsidRPr="00FF0DA7" w14:paraId="2AD08EE0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6F2FDC87" w14:textId="6BF5EF84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32" w:type="dxa"/>
            <w:gridSpan w:val="2"/>
          </w:tcPr>
          <w:p w14:paraId="74FCFC8E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24"/>
              </w:rPr>
            </w:pPr>
          </w:p>
          <w:p w14:paraId="2871D8E3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ΚΕΦ.113</w:t>
            </w:r>
          </w:p>
          <w:p w14:paraId="329A355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 του 1968</w:t>
            </w:r>
          </w:p>
          <w:p w14:paraId="60FCF8E9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76 του 1977</w:t>
            </w:r>
          </w:p>
          <w:p w14:paraId="63E5E639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17 του 1979</w:t>
            </w:r>
          </w:p>
          <w:p w14:paraId="05BE01E9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105 του 1985</w:t>
            </w:r>
          </w:p>
          <w:p w14:paraId="655BFC04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198 του 1986</w:t>
            </w:r>
          </w:p>
          <w:p w14:paraId="14E02462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19 του 1990</w:t>
            </w:r>
          </w:p>
          <w:p w14:paraId="75E091E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46(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1992</w:t>
            </w:r>
          </w:p>
          <w:p w14:paraId="434A1DA4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96(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1992</w:t>
            </w:r>
          </w:p>
          <w:p w14:paraId="0D5FE470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41(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1994</w:t>
            </w:r>
          </w:p>
          <w:p w14:paraId="32CB5795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15(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1995</w:t>
            </w:r>
          </w:p>
          <w:p w14:paraId="3DEBC020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21(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1997</w:t>
            </w:r>
          </w:p>
          <w:p w14:paraId="18367307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ΑΝΑΚ.2331</w:t>
            </w:r>
          </w:p>
          <w:p w14:paraId="7BE7A07E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82(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1999</w:t>
            </w:r>
          </w:p>
          <w:p w14:paraId="0004F08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149(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1999</w:t>
            </w:r>
          </w:p>
          <w:p w14:paraId="588BE3C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lastRenderedPageBreak/>
              <w:t>2(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2000</w:t>
            </w:r>
          </w:p>
          <w:p w14:paraId="09AE0B63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135(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2000</w:t>
            </w:r>
          </w:p>
          <w:p w14:paraId="74F777E1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151(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2000</w:t>
            </w:r>
          </w:p>
          <w:p w14:paraId="54BEE54D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76(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2001</w:t>
            </w:r>
          </w:p>
          <w:p w14:paraId="3A6FB0D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70(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2003</w:t>
            </w:r>
          </w:p>
          <w:p w14:paraId="69DFD0DD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167(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2003</w:t>
            </w:r>
          </w:p>
          <w:p w14:paraId="4A5CA74B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92(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2004</w:t>
            </w:r>
          </w:p>
          <w:p w14:paraId="5F8ACF7F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24(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2005</w:t>
            </w:r>
          </w:p>
          <w:p w14:paraId="6B472083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129(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2005</w:t>
            </w:r>
          </w:p>
          <w:p w14:paraId="22B73894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130(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2005</w:t>
            </w:r>
          </w:p>
          <w:p w14:paraId="6A024A53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98(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2006</w:t>
            </w:r>
          </w:p>
          <w:p w14:paraId="74EA33B5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124(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2006</w:t>
            </w:r>
          </w:p>
          <w:p w14:paraId="57CE93A0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70(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2007</w:t>
            </w:r>
          </w:p>
          <w:p w14:paraId="2B02381E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71(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2007</w:t>
            </w:r>
          </w:p>
          <w:p w14:paraId="0F2FAC52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131(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2007</w:t>
            </w:r>
          </w:p>
          <w:p w14:paraId="32F27BF7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186(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2007</w:t>
            </w:r>
          </w:p>
          <w:p w14:paraId="1B8A72B9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87(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2008</w:t>
            </w:r>
          </w:p>
          <w:p w14:paraId="295FDB54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41(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2009</w:t>
            </w:r>
          </w:p>
          <w:p w14:paraId="5D6E013A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49(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2009</w:t>
            </w:r>
          </w:p>
          <w:p w14:paraId="6031F47F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99(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2009</w:t>
            </w:r>
          </w:p>
          <w:p w14:paraId="777D919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42(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2010</w:t>
            </w:r>
          </w:p>
          <w:p w14:paraId="27472573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60(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2010</w:t>
            </w:r>
          </w:p>
          <w:p w14:paraId="6F746D4A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88(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2010</w:t>
            </w:r>
          </w:p>
          <w:p w14:paraId="609198C8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53(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2011</w:t>
            </w:r>
          </w:p>
          <w:p w14:paraId="4C9F15E2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117(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2011</w:t>
            </w:r>
          </w:p>
          <w:p w14:paraId="0E176828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145(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2011</w:t>
            </w:r>
          </w:p>
          <w:p w14:paraId="33036CF8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157(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2011</w:t>
            </w:r>
          </w:p>
          <w:p w14:paraId="257846E7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198(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2011</w:t>
            </w:r>
          </w:p>
          <w:p w14:paraId="1244D979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64(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2012</w:t>
            </w:r>
          </w:p>
          <w:p w14:paraId="7657AA5B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98(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2012</w:t>
            </w:r>
          </w:p>
          <w:p w14:paraId="1C2F5621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190(Ι) του 2012</w:t>
            </w:r>
          </w:p>
          <w:p w14:paraId="5F07E735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203(Ι) του 2012</w:t>
            </w:r>
          </w:p>
          <w:p w14:paraId="4D3DD76F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6(Ι) του 2013</w:t>
            </w:r>
          </w:p>
          <w:p w14:paraId="587EAED7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90(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2013</w:t>
            </w:r>
          </w:p>
          <w:p w14:paraId="0F064F11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74(Ι) του 2014</w:t>
            </w:r>
          </w:p>
          <w:p w14:paraId="0013F44E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75(Ι) του 2014</w:t>
            </w:r>
          </w:p>
          <w:p w14:paraId="188FFF7F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18(Ι) του 2015</w:t>
            </w:r>
          </w:p>
          <w:p w14:paraId="67497697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62(Ι) του 2015</w:t>
            </w:r>
          </w:p>
          <w:p w14:paraId="085762FB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63(Ι) του 2015</w:t>
            </w:r>
          </w:p>
          <w:p w14:paraId="1B7CFC92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89(I) του 2015</w:t>
            </w:r>
          </w:p>
          <w:p w14:paraId="24F22829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120(I) του 2015</w:t>
            </w:r>
          </w:p>
          <w:p w14:paraId="78FB6C6E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40(I) του 2016</w:t>
            </w:r>
          </w:p>
          <w:p w14:paraId="607BB95C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90(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2016</w:t>
            </w:r>
          </w:p>
          <w:p w14:paraId="0582F2F0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97(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2016</w:t>
            </w:r>
          </w:p>
          <w:p w14:paraId="0BAEA5FA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17(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2017</w:t>
            </w:r>
          </w:p>
          <w:p w14:paraId="4622118E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33(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2017</w:t>
            </w:r>
          </w:p>
          <w:p w14:paraId="24085518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51(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2017</w:t>
            </w:r>
          </w:p>
          <w:p w14:paraId="6EB551C2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37(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2018</w:t>
            </w:r>
          </w:p>
          <w:p w14:paraId="3D0E69BA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83(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2018</w:t>
            </w:r>
          </w:p>
          <w:p w14:paraId="6CFACDEC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149(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2018</w:t>
            </w:r>
          </w:p>
          <w:p w14:paraId="6CBAD044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163(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2019</w:t>
            </w:r>
          </w:p>
          <w:p w14:paraId="55D4B285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38(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2020</w:t>
            </w:r>
          </w:p>
          <w:p w14:paraId="5BD16EDB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43(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2020</w:t>
            </w:r>
          </w:p>
          <w:p w14:paraId="0C96BFE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191(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2020</w:t>
            </w:r>
          </w:p>
          <w:p w14:paraId="0E4C8318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192(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2020</w:t>
            </w:r>
          </w:p>
          <w:p w14:paraId="284DED7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32 του 2021</w:t>
            </w:r>
          </w:p>
          <w:p w14:paraId="509B951E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43(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2021</w:t>
            </w:r>
          </w:p>
          <w:p w14:paraId="7BB4842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117(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2021</w:t>
            </w:r>
          </w:p>
          <w:p w14:paraId="573EA75B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150(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2021</w:t>
            </w:r>
          </w:p>
          <w:p w14:paraId="19A72A26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151(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2021</w:t>
            </w:r>
          </w:p>
          <w:p w14:paraId="3D08B059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87(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2022</w:t>
            </w:r>
          </w:p>
          <w:p w14:paraId="1162172F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88(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2022</w:t>
            </w:r>
          </w:p>
          <w:p w14:paraId="7B20192C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96(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2022</w:t>
            </w:r>
          </w:p>
          <w:p w14:paraId="1972A88B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213(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2022</w:t>
            </w:r>
          </w:p>
          <w:p w14:paraId="5EB8A433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80(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2023</w:t>
            </w:r>
          </w:p>
          <w:p w14:paraId="6C803235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151(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2023</w:t>
            </w:r>
          </w:p>
          <w:p w14:paraId="0D131ADC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18(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2024</w:t>
            </w:r>
          </w:p>
          <w:p w14:paraId="30FA2A49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25(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2024</w:t>
            </w:r>
          </w:p>
          <w:p w14:paraId="08350D7C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26(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2024</w:t>
            </w:r>
          </w:p>
          <w:p w14:paraId="76531527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101(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2024 και</w:t>
            </w:r>
          </w:p>
          <w:p w14:paraId="28CB2272" w14:textId="0B9944B2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18"/>
                <w:szCs w:val="24"/>
              </w:rPr>
              <w:t>138(</w:t>
            </w:r>
            <w:r w:rsidRPr="00FF0DA7">
              <w:rPr>
                <w:rFonts w:ascii="Arial" w:hAnsi="Arial" w:cs="Arial"/>
                <w:sz w:val="18"/>
                <w:szCs w:val="24"/>
                <w:lang w:val="da-DK"/>
              </w:rPr>
              <w:t>I</w:t>
            </w:r>
            <w:r w:rsidRPr="00FF0DA7">
              <w:rPr>
                <w:rFonts w:ascii="Arial" w:hAnsi="Arial" w:cs="Arial"/>
                <w:sz w:val="18"/>
                <w:szCs w:val="24"/>
              </w:rPr>
              <w:t>) του 2024</w:t>
            </w:r>
            <w:r w:rsidR="005166A1" w:rsidRPr="00FF0DA7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7036" w:type="dxa"/>
            <w:gridSpan w:val="2"/>
          </w:tcPr>
          <w:p w14:paraId="1A2C2693" w14:textId="47AC005B" w:rsidR="00C12C39" w:rsidRPr="00FF0DA7" w:rsidRDefault="00C12C39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24"/>
                <w:szCs w:val="24"/>
              </w:rPr>
              <w:lastRenderedPageBreak/>
              <w:t xml:space="preserve">«εταιρεία» έχει την έννοια που δίδεται στον όρο αυτό από τον περί Εταιρειών Νόμο· </w:t>
            </w:r>
          </w:p>
        </w:tc>
      </w:tr>
      <w:tr w:rsidR="00C12C39" w:rsidRPr="00FF0DA7" w14:paraId="45C5397A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21D0A03B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32" w:type="dxa"/>
            <w:gridSpan w:val="2"/>
          </w:tcPr>
          <w:p w14:paraId="5B9FB40D" w14:textId="77777777" w:rsidR="00C12C39" w:rsidRPr="00FF0DA7" w:rsidRDefault="00C12C39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2"/>
          </w:tcPr>
          <w:p w14:paraId="18CB2E8B" w14:textId="77777777" w:rsidR="00C12C39" w:rsidRPr="00FF0DA7" w:rsidRDefault="00C12C39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39" w:rsidRPr="00FF0DA7" w14:paraId="0780B41A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546076A1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32" w:type="dxa"/>
            <w:gridSpan w:val="2"/>
          </w:tcPr>
          <w:p w14:paraId="13B3E3CB" w14:textId="77777777" w:rsidR="00C12C39" w:rsidRPr="00FF0DA7" w:rsidRDefault="00C12C39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2"/>
          </w:tcPr>
          <w:p w14:paraId="7736AC66" w14:textId="5D75AF0D" w:rsidR="00C12C39" w:rsidRPr="00FF0DA7" w:rsidRDefault="00C12C39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24"/>
                <w:szCs w:val="24"/>
              </w:rPr>
              <w:t>«εταιρεία κράτους μέλους της Ένωσης» έχει την έννοια που δίδεται στον όρο αυτό από τον περί Εταιρειών Νόμο·</w:t>
            </w:r>
          </w:p>
        </w:tc>
      </w:tr>
      <w:tr w:rsidR="00C12C39" w:rsidRPr="00FF0DA7" w14:paraId="4B78F9F7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25C8FEC4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568" w:type="dxa"/>
            <w:gridSpan w:val="4"/>
          </w:tcPr>
          <w:p w14:paraId="2AE26CE9" w14:textId="77777777" w:rsidR="00C12C39" w:rsidRPr="00FF0DA7" w:rsidRDefault="00C12C39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39" w:rsidRPr="00FF0DA7" w14:paraId="4E15F385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22592AC1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8" w:type="dxa"/>
            <w:gridSpan w:val="4"/>
          </w:tcPr>
          <w:p w14:paraId="51CA045B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39" w:rsidRPr="00FF0DA7" w14:paraId="075F32FB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77A347A6" w14:textId="0E3DA4FC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F0DA7">
              <w:rPr>
                <w:rFonts w:ascii="Arial" w:hAnsi="Arial" w:cs="Arial"/>
                <w:sz w:val="18"/>
                <w:szCs w:val="18"/>
              </w:rPr>
              <w:t xml:space="preserve">Τροποποίηση του άρθρου 66 του βασικού νόμου. </w:t>
            </w:r>
          </w:p>
        </w:tc>
        <w:tc>
          <w:tcPr>
            <w:tcW w:w="8568" w:type="dxa"/>
            <w:gridSpan w:val="4"/>
          </w:tcPr>
          <w:p w14:paraId="4E0094F4" w14:textId="6A6B848B" w:rsidR="00C12C39" w:rsidRPr="00FF0DA7" w:rsidRDefault="00445D43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12C39" w:rsidRPr="00FF0DA7">
              <w:rPr>
                <w:rFonts w:ascii="Arial" w:hAnsi="Arial" w:cs="Arial"/>
                <w:sz w:val="24"/>
                <w:szCs w:val="24"/>
              </w:rPr>
              <w:t xml:space="preserve">. Το άρθρο 66 του βασικού νόμου τροποποιείται ως ακολούθως: </w:t>
            </w:r>
          </w:p>
        </w:tc>
      </w:tr>
      <w:tr w:rsidR="00C12C39" w:rsidRPr="00FF0DA7" w14:paraId="09323F95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0B5CF1D9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8" w:type="dxa"/>
            <w:gridSpan w:val="4"/>
          </w:tcPr>
          <w:p w14:paraId="07B6C1B7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39" w:rsidRPr="00FF0DA7" w14:paraId="0AB46377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49A19913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2" w:type="dxa"/>
          </w:tcPr>
          <w:p w14:paraId="38FD883D" w14:textId="4E7D3E02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14:paraId="0CAA9B58" w14:textId="35C0A752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FF0DA7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7036" w:type="dxa"/>
            <w:gridSpan w:val="2"/>
          </w:tcPr>
          <w:p w14:paraId="577A524E" w14:textId="591CC10A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24"/>
                <w:szCs w:val="24"/>
              </w:rPr>
              <w:t>Με την αντικατάσταση της παραγράφου (α) αυτού, με την ακόλουθη νέα παράγραφο (α):</w:t>
            </w:r>
          </w:p>
        </w:tc>
      </w:tr>
      <w:tr w:rsidR="00C12C39" w:rsidRPr="00FF0DA7" w14:paraId="28AD87C6" w14:textId="77777777" w:rsidTr="11135C96">
        <w:trPr>
          <w:gridAfter w:val="1"/>
          <w:wAfter w:w="287" w:type="dxa"/>
        </w:trPr>
        <w:tc>
          <w:tcPr>
            <w:tcW w:w="1391" w:type="dxa"/>
          </w:tcPr>
          <w:p w14:paraId="68DD6F29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gridSpan w:val="2"/>
          </w:tcPr>
          <w:p w14:paraId="11FE5DE0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2"/>
          </w:tcPr>
          <w:p w14:paraId="66641604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39" w:rsidRPr="00FF0DA7" w14:paraId="7C41E895" w14:textId="77777777" w:rsidTr="11135C96">
        <w:tc>
          <w:tcPr>
            <w:tcW w:w="1391" w:type="dxa"/>
          </w:tcPr>
          <w:p w14:paraId="05E1E26A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gridSpan w:val="2"/>
          </w:tcPr>
          <w:p w14:paraId="45B7C138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</w:tcPr>
          <w:p w14:paraId="6D1836E8" w14:textId="2E1EE4D6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5" w:type="dxa"/>
            <w:gridSpan w:val="2"/>
          </w:tcPr>
          <w:p w14:paraId="357C4A7A" w14:textId="05B85E43" w:rsidR="00C12C39" w:rsidRPr="00FF0DA7" w:rsidRDefault="00C12C39" w:rsidP="11135C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11135C96">
              <w:rPr>
                <w:rFonts w:ascii="Arial" w:hAnsi="Arial" w:cs="Arial"/>
                <w:sz w:val="24"/>
                <w:szCs w:val="24"/>
              </w:rPr>
              <w:t xml:space="preserve">«(α) </w:t>
            </w:r>
            <w:r w:rsidR="00FF0DA7" w:rsidRPr="11135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1135C96">
              <w:rPr>
                <w:rFonts w:ascii="Arial" w:hAnsi="Arial" w:cs="Arial"/>
                <w:sz w:val="24"/>
                <w:szCs w:val="24"/>
              </w:rPr>
              <w:t xml:space="preserve">να αποκτά με αγορά, ανταλλαγή, δωρεά ή οποιονδήποτε άλλο τρόπο, ακίνητη ή κινητή περιουσία </w:t>
            </w:r>
            <w:r w:rsidR="2C6878AB" w:rsidRPr="11135C96">
              <w:rPr>
                <w:rFonts w:ascii="Arial" w:hAnsi="Arial" w:cs="Arial"/>
                <w:sz w:val="24"/>
                <w:szCs w:val="24"/>
              </w:rPr>
              <w:t>για τις ανάγκες στέγασης και λειτουργίας του</w:t>
            </w:r>
            <w:r w:rsidR="757BD4BE" w:rsidRPr="11135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C6878AB" w:rsidRPr="11135C96">
              <w:rPr>
                <w:rFonts w:ascii="Arial" w:hAnsi="Arial" w:cs="Arial"/>
                <w:sz w:val="24"/>
                <w:szCs w:val="24"/>
              </w:rPr>
              <w:t xml:space="preserve">και να μισθώνει ή εξασφαλίζει άδεια χρήσης οποιασδήποτε ακίνητης ή κινητής περιουσίας για τις ανάγκες στέγασης και λειτουργίας του και με απόφαση του Υπουργικού Συμβουλίου, </w:t>
            </w:r>
            <w:r w:rsidR="493EBCEE" w:rsidRPr="11135C96">
              <w:rPr>
                <w:rFonts w:ascii="Arial" w:hAnsi="Arial" w:cs="Arial"/>
                <w:sz w:val="24"/>
                <w:szCs w:val="24"/>
              </w:rPr>
              <w:t xml:space="preserve">να συμμετέχει </w:t>
            </w:r>
            <w:r w:rsidR="00FF0DA7" w:rsidRPr="11135C96">
              <w:rPr>
                <w:rFonts w:ascii="Arial" w:hAnsi="Arial" w:cs="Arial"/>
                <w:sz w:val="24"/>
                <w:szCs w:val="24"/>
              </w:rPr>
              <w:t>σε εταιρεία ή/και σε εταιρεία κράτους μέλους της Ένωσης</w:t>
            </w:r>
            <w:r w:rsidRPr="11135C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12C39" w:rsidRPr="00FF0DA7" w14:paraId="1FF1ABC5" w14:textId="77777777" w:rsidTr="11135C96">
        <w:trPr>
          <w:trHeight w:hRule="exact" w:val="284"/>
        </w:trPr>
        <w:tc>
          <w:tcPr>
            <w:tcW w:w="1391" w:type="dxa"/>
          </w:tcPr>
          <w:p w14:paraId="16EE0080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gridSpan w:val="2"/>
          </w:tcPr>
          <w:p w14:paraId="4395E44C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</w:tcPr>
          <w:p w14:paraId="6864217B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5" w:type="dxa"/>
            <w:gridSpan w:val="2"/>
          </w:tcPr>
          <w:p w14:paraId="64655EC6" w14:textId="77777777" w:rsidR="00C12C39" w:rsidRPr="00FF0DA7" w:rsidRDefault="00C12C39" w:rsidP="00FF0DA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C39" w:rsidRPr="00FF0DA7" w14:paraId="76BE71A9" w14:textId="77777777" w:rsidTr="11135C96">
        <w:tc>
          <w:tcPr>
            <w:tcW w:w="1391" w:type="dxa"/>
          </w:tcPr>
          <w:p w14:paraId="2DD895A5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gridSpan w:val="2"/>
          </w:tcPr>
          <w:p w14:paraId="68F1AE2F" w14:textId="77777777" w:rsidR="00C12C39" w:rsidRPr="00FF0DA7" w:rsidRDefault="00C12C39" w:rsidP="00FF0DA7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</w:tcPr>
          <w:p w14:paraId="1AB439B6" w14:textId="77777777" w:rsidR="00C12C39" w:rsidRPr="00FF0DA7" w:rsidRDefault="00C12C39" w:rsidP="00FF0D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5" w:type="dxa"/>
            <w:gridSpan w:val="2"/>
          </w:tcPr>
          <w:p w14:paraId="0F16BF88" w14:textId="52480939" w:rsidR="00C12C39" w:rsidRPr="00FF0DA7" w:rsidRDefault="00C12C39" w:rsidP="00FF0DA7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DA7">
              <w:rPr>
                <w:rFonts w:ascii="Arial" w:hAnsi="Arial" w:cs="Arial"/>
                <w:sz w:val="24"/>
                <w:szCs w:val="24"/>
              </w:rPr>
              <w:t xml:space="preserve">Νοείται ότι η </w:t>
            </w:r>
            <w:r w:rsidR="00FF0DA7">
              <w:rPr>
                <w:rFonts w:ascii="Arial" w:hAnsi="Arial" w:cs="Arial"/>
                <w:sz w:val="24"/>
                <w:szCs w:val="24"/>
              </w:rPr>
              <w:t>απόφαση</w:t>
            </w:r>
            <w:r w:rsidRPr="00FF0D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DA7">
              <w:rPr>
                <w:rFonts w:ascii="Arial" w:hAnsi="Arial" w:cs="Arial"/>
                <w:sz w:val="24"/>
                <w:szCs w:val="24"/>
              </w:rPr>
              <w:t xml:space="preserve">του Υπουργικού Συμβουλίου </w:t>
            </w:r>
            <w:r w:rsidRPr="00FF0DA7">
              <w:rPr>
                <w:rFonts w:ascii="Arial" w:hAnsi="Arial" w:cs="Arial"/>
                <w:sz w:val="24"/>
                <w:szCs w:val="24"/>
              </w:rPr>
              <w:t xml:space="preserve">για συμμετοχή του ΔΣΜΚ σε </w:t>
            </w:r>
            <w:r w:rsidR="00800950" w:rsidRPr="00FF0DA7">
              <w:rPr>
                <w:rFonts w:ascii="Arial" w:hAnsi="Arial" w:cs="Arial"/>
                <w:sz w:val="24"/>
                <w:szCs w:val="24"/>
              </w:rPr>
              <w:t xml:space="preserve">εταιρεία ή/και σε εταιρεία κράτους μέλους της Ένωσης </w:t>
            </w:r>
            <w:r w:rsidR="00FF0DA7">
              <w:rPr>
                <w:rFonts w:ascii="Arial" w:hAnsi="Arial" w:cs="Arial"/>
                <w:sz w:val="24"/>
                <w:szCs w:val="24"/>
              </w:rPr>
              <w:t xml:space="preserve">λαμβάνεται </w:t>
            </w:r>
            <w:r w:rsidRPr="00FF0DA7">
              <w:rPr>
                <w:rFonts w:ascii="Arial" w:hAnsi="Arial" w:cs="Arial"/>
                <w:sz w:val="24"/>
                <w:szCs w:val="24"/>
              </w:rPr>
              <w:t>με την επιφύλαξη των προνοιών του άρθρου 78 και της παραγράφου (α) του εδαφίου (1) του άρθρου 80.».</w:t>
            </w:r>
          </w:p>
        </w:tc>
      </w:tr>
    </w:tbl>
    <w:p w14:paraId="7016C532" w14:textId="77777777" w:rsidR="00A20D57" w:rsidRPr="00F55603" w:rsidRDefault="00A20D57" w:rsidP="00A20D5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20D57" w:rsidRPr="00F55603" w:rsidSect="00FE15D8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A222" w14:textId="77777777" w:rsidR="001550B0" w:rsidRDefault="001550B0" w:rsidP="00DD2F0E">
      <w:pPr>
        <w:spacing w:after="0" w:line="240" w:lineRule="auto"/>
      </w:pPr>
      <w:r>
        <w:separator/>
      </w:r>
    </w:p>
  </w:endnote>
  <w:endnote w:type="continuationSeparator" w:id="0">
    <w:p w14:paraId="15403F45" w14:textId="77777777" w:rsidR="001550B0" w:rsidRDefault="001550B0" w:rsidP="00DD2F0E">
      <w:pPr>
        <w:spacing w:after="0" w:line="240" w:lineRule="auto"/>
      </w:pPr>
      <w:r>
        <w:continuationSeparator/>
      </w:r>
    </w:p>
  </w:endnote>
  <w:endnote w:type="continuationNotice" w:id="1">
    <w:p w14:paraId="7BFF4A07" w14:textId="77777777" w:rsidR="001550B0" w:rsidRDefault="00155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59204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F0454" w14:textId="31A9DC81" w:rsidR="00F63F5D" w:rsidRPr="000B3FED" w:rsidRDefault="00F63F5D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B3FED">
          <w:rPr>
            <w:rFonts w:ascii="Arial" w:hAnsi="Arial" w:cs="Arial"/>
            <w:sz w:val="24"/>
            <w:szCs w:val="24"/>
          </w:rPr>
          <w:fldChar w:fldCharType="begin"/>
        </w:r>
        <w:r w:rsidRPr="000B3FE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B3FED">
          <w:rPr>
            <w:rFonts w:ascii="Arial" w:hAnsi="Arial" w:cs="Arial"/>
            <w:sz w:val="24"/>
            <w:szCs w:val="24"/>
          </w:rPr>
          <w:fldChar w:fldCharType="separate"/>
        </w:r>
        <w:r w:rsidRPr="000B3FED">
          <w:rPr>
            <w:rFonts w:ascii="Arial" w:hAnsi="Arial" w:cs="Arial"/>
            <w:noProof/>
            <w:sz w:val="24"/>
            <w:szCs w:val="24"/>
          </w:rPr>
          <w:t>2</w:t>
        </w:r>
        <w:r w:rsidRPr="000B3FE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FD3AB29" w14:textId="77777777" w:rsidR="00F63F5D" w:rsidRDefault="00F63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4363" w14:textId="77777777" w:rsidR="001550B0" w:rsidRDefault="001550B0" w:rsidP="00DD2F0E">
      <w:pPr>
        <w:spacing w:after="0" w:line="240" w:lineRule="auto"/>
      </w:pPr>
      <w:r>
        <w:separator/>
      </w:r>
    </w:p>
  </w:footnote>
  <w:footnote w:type="continuationSeparator" w:id="0">
    <w:p w14:paraId="0F7C1661" w14:textId="77777777" w:rsidR="001550B0" w:rsidRDefault="001550B0" w:rsidP="00DD2F0E">
      <w:pPr>
        <w:spacing w:after="0" w:line="240" w:lineRule="auto"/>
      </w:pPr>
      <w:r>
        <w:continuationSeparator/>
      </w:r>
    </w:p>
  </w:footnote>
  <w:footnote w:type="continuationNotice" w:id="1">
    <w:p w14:paraId="2FE4F608" w14:textId="77777777" w:rsidR="001550B0" w:rsidRDefault="001550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E95" w14:textId="5F8A1F78" w:rsidR="00F63F5D" w:rsidRPr="00DD2F0E" w:rsidRDefault="00F63F5D" w:rsidP="00DD2F0E">
    <w:pPr>
      <w:pStyle w:val="Header"/>
      <w:tabs>
        <w:tab w:val="clear" w:pos="9026"/>
        <w:tab w:val="right" w:pos="9638"/>
      </w:tabs>
      <w:rPr>
        <w:rFonts w:ascii="Arial" w:hAnsi="Arial" w:cs="Arial"/>
        <w:sz w:val="20"/>
      </w:rPr>
    </w:pPr>
    <w:r w:rsidRPr="00DD2F0E">
      <w:rPr>
        <w:rFonts w:ascii="Arial" w:hAnsi="Arial" w:cs="Arial"/>
        <w:sz w:val="20"/>
      </w:rPr>
      <w:t xml:space="preserve">Ε.Ε. Παρ. (Ι), </w:t>
    </w:r>
    <w:proofErr w:type="spellStart"/>
    <w:r w:rsidRPr="00DD2F0E">
      <w:rPr>
        <w:rFonts w:ascii="Arial" w:hAnsi="Arial" w:cs="Arial"/>
        <w:sz w:val="20"/>
      </w:rPr>
      <w:t>Αρ</w:t>
    </w:r>
    <w:proofErr w:type="spellEnd"/>
    <w:r w:rsidRPr="00DD2F0E">
      <w:rPr>
        <w:rFonts w:ascii="Arial" w:hAnsi="Arial" w:cs="Arial"/>
        <w:sz w:val="20"/>
      </w:rPr>
      <w:t>.,</w:t>
    </w:r>
    <w:r w:rsidRPr="00DD2F0E">
      <w:rPr>
        <w:rFonts w:ascii="Arial" w:hAnsi="Arial" w:cs="Arial"/>
        <w:sz w:val="20"/>
      </w:rPr>
      <w:tab/>
    </w:r>
    <w:r w:rsidRPr="00DD2F0E">
      <w:rPr>
        <w:rFonts w:ascii="Arial" w:hAnsi="Arial" w:cs="Arial"/>
        <w:sz w:val="20"/>
      </w:rPr>
      <w:tab/>
      <w:t xml:space="preserve">     Ν. …(Ι)/202</w:t>
    </w:r>
    <w:r>
      <w:rPr>
        <w:rFonts w:ascii="Arial" w:hAnsi="Arial" w:cs="Arial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80D"/>
    <w:multiLevelType w:val="hybridMultilevel"/>
    <w:tmpl w:val="1FC059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72D9"/>
    <w:multiLevelType w:val="hybridMultilevel"/>
    <w:tmpl w:val="169821B6"/>
    <w:lvl w:ilvl="0" w:tplc="5EC8B49A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B16"/>
    <w:multiLevelType w:val="hybridMultilevel"/>
    <w:tmpl w:val="CE94A84E"/>
    <w:lvl w:ilvl="0" w:tplc="F482E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FC8"/>
    <w:multiLevelType w:val="multilevel"/>
    <w:tmpl w:val="DB1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23D8E"/>
    <w:multiLevelType w:val="hybridMultilevel"/>
    <w:tmpl w:val="C49AB9CC"/>
    <w:lvl w:ilvl="0" w:tplc="616247A4">
      <w:start w:val="5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77678"/>
    <w:multiLevelType w:val="hybridMultilevel"/>
    <w:tmpl w:val="D354BDD8"/>
    <w:lvl w:ilvl="0" w:tplc="54CED7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803D37"/>
    <w:multiLevelType w:val="hybridMultilevel"/>
    <w:tmpl w:val="66F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70DB5"/>
    <w:multiLevelType w:val="hybridMultilevel"/>
    <w:tmpl w:val="989CFE2C"/>
    <w:lvl w:ilvl="0" w:tplc="5B7AE13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26C02"/>
    <w:multiLevelType w:val="hybridMultilevel"/>
    <w:tmpl w:val="EE8ABCC0"/>
    <w:lvl w:ilvl="0" w:tplc="AAAE5D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12835"/>
    <w:multiLevelType w:val="hybridMultilevel"/>
    <w:tmpl w:val="02C80BE4"/>
    <w:lvl w:ilvl="0" w:tplc="6EC03DE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7C60"/>
    <w:multiLevelType w:val="hybridMultilevel"/>
    <w:tmpl w:val="D2162D3C"/>
    <w:lvl w:ilvl="0" w:tplc="DFD448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49F8"/>
    <w:multiLevelType w:val="hybridMultilevel"/>
    <w:tmpl w:val="AAE24430"/>
    <w:lvl w:ilvl="0" w:tplc="3F645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F2002"/>
    <w:multiLevelType w:val="hybridMultilevel"/>
    <w:tmpl w:val="66CC26B8"/>
    <w:lvl w:ilvl="0" w:tplc="472E159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7513611">
    <w:abstractNumId w:val="2"/>
  </w:num>
  <w:num w:numId="2" w16cid:durableId="1362590039">
    <w:abstractNumId w:val="4"/>
  </w:num>
  <w:num w:numId="3" w16cid:durableId="811210477">
    <w:abstractNumId w:val="5"/>
  </w:num>
  <w:num w:numId="4" w16cid:durableId="1972898784">
    <w:abstractNumId w:val="9"/>
  </w:num>
  <w:num w:numId="5" w16cid:durableId="623006530">
    <w:abstractNumId w:val="6"/>
  </w:num>
  <w:num w:numId="6" w16cid:durableId="686518193">
    <w:abstractNumId w:val="10"/>
  </w:num>
  <w:num w:numId="7" w16cid:durableId="874461572">
    <w:abstractNumId w:val="12"/>
  </w:num>
  <w:num w:numId="8" w16cid:durableId="132337760">
    <w:abstractNumId w:val="8"/>
  </w:num>
  <w:num w:numId="9" w16cid:durableId="1584295731">
    <w:abstractNumId w:val="1"/>
  </w:num>
  <w:num w:numId="10" w16cid:durableId="717624827">
    <w:abstractNumId w:val="7"/>
  </w:num>
  <w:num w:numId="11" w16cid:durableId="1604801560">
    <w:abstractNumId w:val="3"/>
  </w:num>
  <w:num w:numId="12" w16cid:durableId="824902213">
    <w:abstractNumId w:val="0"/>
  </w:num>
  <w:num w:numId="13" w16cid:durableId="754741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D8"/>
    <w:rsid w:val="000006E7"/>
    <w:rsid w:val="00003B38"/>
    <w:rsid w:val="0001181A"/>
    <w:rsid w:val="00011D77"/>
    <w:rsid w:val="000202B5"/>
    <w:rsid w:val="00020A2E"/>
    <w:rsid w:val="00042879"/>
    <w:rsid w:val="00050D95"/>
    <w:rsid w:val="00053D6F"/>
    <w:rsid w:val="00057972"/>
    <w:rsid w:val="00071531"/>
    <w:rsid w:val="00071E3E"/>
    <w:rsid w:val="0007343E"/>
    <w:rsid w:val="000772D1"/>
    <w:rsid w:val="00081C0D"/>
    <w:rsid w:val="000914BC"/>
    <w:rsid w:val="000A66FF"/>
    <w:rsid w:val="000A6DCB"/>
    <w:rsid w:val="000B1431"/>
    <w:rsid w:val="000B3BCB"/>
    <w:rsid w:val="000B3FED"/>
    <w:rsid w:val="000C0AFB"/>
    <w:rsid w:val="000C2AB8"/>
    <w:rsid w:val="000C3BDB"/>
    <w:rsid w:val="000D03BF"/>
    <w:rsid w:val="000D2ED5"/>
    <w:rsid w:val="000D2FF8"/>
    <w:rsid w:val="000D47C3"/>
    <w:rsid w:val="000D543C"/>
    <w:rsid w:val="000D6E96"/>
    <w:rsid w:val="000E0DDD"/>
    <w:rsid w:val="000E4A58"/>
    <w:rsid w:val="000E4DE5"/>
    <w:rsid w:val="00102683"/>
    <w:rsid w:val="00102738"/>
    <w:rsid w:val="00115730"/>
    <w:rsid w:val="00116437"/>
    <w:rsid w:val="00132465"/>
    <w:rsid w:val="00151697"/>
    <w:rsid w:val="001536C6"/>
    <w:rsid w:val="001550B0"/>
    <w:rsid w:val="0015653E"/>
    <w:rsid w:val="0016527E"/>
    <w:rsid w:val="00177EF9"/>
    <w:rsid w:val="00181045"/>
    <w:rsid w:val="00190AA9"/>
    <w:rsid w:val="00191A32"/>
    <w:rsid w:val="00196D2B"/>
    <w:rsid w:val="001A18F8"/>
    <w:rsid w:val="001A4E31"/>
    <w:rsid w:val="001B697E"/>
    <w:rsid w:val="001C5B96"/>
    <w:rsid w:val="001C5F31"/>
    <w:rsid w:val="001D2556"/>
    <w:rsid w:val="001D40F7"/>
    <w:rsid w:val="001D61FC"/>
    <w:rsid w:val="001E032D"/>
    <w:rsid w:val="001F17CF"/>
    <w:rsid w:val="001F1ACD"/>
    <w:rsid w:val="001F2417"/>
    <w:rsid w:val="001F42E7"/>
    <w:rsid w:val="002236CB"/>
    <w:rsid w:val="002356C0"/>
    <w:rsid w:val="002406CD"/>
    <w:rsid w:val="00245D6C"/>
    <w:rsid w:val="00247A2E"/>
    <w:rsid w:val="00266A85"/>
    <w:rsid w:val="0027158D"/>
    <w:rsid w:val="00280238"/>
    <w:rsid w:val="00293F55"/>
    <w:rsid w:val="002975A3"/>
    <w:rsid w:val="002A0081"/>
    <w:rsid w:val="002A458A"/>
    <w:rsid w:val="002A6497"/>
    <w:rsid w:val="002A65EA"/>
    <w:rsid w:val="002B232B"/>
    <w:rsid w:val="002B2565"/>
    <w:rsid w:val="002B27C1"/>
    <w:rsid w:val="002B5012"/>
    <w:rsid w:val="002C4D83"/>
    <w:rsid w:val="002D77BB"/>
    <w:rsid w:val="002E0F6B"/>
    <w:rsid w:val="002E5047"/>
    <w:rsid w:val="002F412B"/>
    <w:rsid w:val="002F5AC2"/>
    <w:rsid w:val="00303E7C"/>
    <w:rsid w:val="00313F48"/>
    <w:rsid w:val="00323841"/>
    <w:rsid w:val="00325713"/>
    <w:rsid w:val="003370D7"/>
    <w:rsid w:val="00344443"/>
    <w:rsid w:val="00351C9F"/>
    <w:rsid w:val="003670E1"/>
    <w:rsid w:val="0038385D"/>
    <w:rsid w:val="00387938"/>
    <w:rsid w:val="003908A3"/>
    <w:rsid w:val="00394540"/>
    <w:rsid w:val="00395B20"/>
    <w:rsid w:val="003A0E1E"/>
    <w:rsid w:val="003A2A39"/>
    <w:rsid w:val="003A3563"/>
    <w:rsid w:val="003B6126"/>
    <w:rsid w:val="003C4455"/>
    <w:rsid w:val="003D0605"/>
    <w:rsid w:val="003D3F7D"/>
    <w:rsid w:val="003D6502"/>
    <w:rsid w:val="003D6B9F"/>
    <w:rsid w:val="003E138F"/>
    <w:rsid w:val="003E4B06"/>
    <w:rsid w:val="003E6327"/>
    <w:rsid w:val="003F1962"/>
    <w:rsid w:val="004046F6"/>
    <w:rsid w:val="004057AB"/>
    <w:rsid w:val="00411865"/>
    <w:rsid w:val="004160A4"/>
    <w:rsid w:val="00430882"/>
    <w:rsid w:val="00436672"/>
    <w:rsid w:val="004413DE"/>
    <w:rsid w:val="00442914"/>
    <w:rsid w:val="00445D43"/>
    <w:rsid w:val="00466901"/>
    <w:rsid w:val="004766B9"/>
    <w:rsid w:val="004773C0"/>
    <w:rsid w:val="004777A2"/>
    <w:rsid w:val="00490149"/>
    <w:rsid w:val="00493C61"/>
    <w:rsid w:val="00497389"/>
    <w:rsid w:val="004A189C"/>
    <w:rsid w:val="004B18D3"/>
    <w:rsid w:val="004C15D8"/>
    <w:rsid w:val="004D05A7"/>
    <w:rsid w:val="004D1058"/>
    <w:rsid w:val="004E4B94"/>
    <w:rsid w:val="004E4E48"/>
    <w:rsid w:val="005056F0"/>
    <w:rsid w:val="00510C5E"/>
    <w:rsid w:val="0051371B"/>
    <w:rsid w:val="0051373C"/>
    <w:rsid w:val="00514ABC"/>
    <w:rsid w:val="00515AEE"/>
    <w:rsid w:val="005166A1"/>
    <w:rsid w:val="0052688A"/>
    <w:rsid w:val="0053540E"/>
    <w:rsid w:val="0053545B"/>
    <w:rsid w:val="005412E2"/>
    <w:rsid w:val="0054140B"/>
    <w:rsid w:val="005630F0"/>
    <w:rsid w:val="00567298"/>
    <w:rsid w:val="00583069"/>
    <w:rsid w:val="00592A6D"/>
    <w:rsid w:val="005B353C"/>
    <w:rsid w:val="005B53F8"/>
    <w:rsid w:val="005C5FC0"/>
    <w:rsid w:val="005D32A7"/>
    <w:rsid w:val="005E179C"/>
    <w:rsid w:val="005E23C5"/>
    <w:rsid w:val="005E5A95"/>
    <w:rsid w:val="005E6782"/>
    <w:rsid w:val="005F01F4"/>
    <w:rsid w:val="006060C4"/>
    <w:rsid w:val="00624004"/>
    <w:rsid w:val="006316AD"/>
    <w:rsid w:val="00635056"/>
    <w:rsid w:val="00641061"/>
    <w:rsid w:val="006453B4"/>
    <w:rsid w:val="00646A56"/>
    <w:rsid w:val="0064706B"/>
    <w:rsid w:val="00661106"/>
    <w:rsid w:val="00661B65"/>
    <w:rsid w:val="006663E0"/>
    <w:rsid w:val="0066702A"/>
    <w:rsid w:val="00674B48"/>
    <w:rsid w:val="0068309B"/>
    <w:rsid w:val="00697E7A"/>
    <w:rsid w:val="006B2E07"/>
    <w:rsid w:val="006B4688"/>
    <w:rsid w:val="006B58F8"/>
    <w:rsid w:val="006B6D1A"/>
    <w:rsid w:val="006B6D88"/>
    <w:rsid w:val="006D0CB8"/>
    <w:rsid w:val="006D0EDF"/>
    <w:rsid w:val="006D2DE0"/>
    <w:rsid w:val="006D4989"/>
    <w:rsid w:val="006D64B8"/>
    <w:rsid w:val="006D787F"/>
    <w:rsid w:val="006E1B4C"/>
    <w:rsid w:val="006E4950"/>
    <w:rsid w:val="006F1BB1"/>
    <w:rsid w:val="007049A3"/>
    <w:rsid w:val="0071271E"/>
    <w:rsid w:val="00714C6A"/>
    <w:rsid w:val="007244FD"/>
    <w:rsid w:val="00730728"/>
    <w:rsid w:val="0073188C"/>
    <w:rsid w:val="00734F2B"/>
    <w:rsid w:val="00741DC9"/>
    <w:rsid w:val="00756184"/>
    <w:rsid w:val="0076330A"/>
    <w:rsid w:val="007658F1"/>
    <w:rsid w:val="00775D96"/>
    <w:rsid w:val="007839C9"/>
    <w:rsid w:val="00791F30"/>
    <w:rsid w:val="007948A0"/>
    <w:rsid w:val="00795CA7"/>
    <w:rsid w:val="007A4AC9"/>
    <w:rsid w:val="007B20C8"/>
    <w:rsid w:val="007B7988"/>
    <w:rsid w:val="007E5916"/>
    <w:rsid w:val="007F20DA"/>
    <w:rsid w:val="007F3030"/>
    <w:rsid w:val="007F6358"/>
    <w:rsid w:val="00800950"/>
    <w:rsid w:val="00802509"/>
    <w:rsid w:val="008057E7"/>
    <w:rsid w:val="00806549"/>
    <w:rsid w:val="008237B1"/>
    <w:rsid w:val="00831F0E"/>
    <w:rsid w:val="00850A65"/>
    <w:rsid w:val="00851D18"/>
    <w:rsid w:val="0085220F"/>
    <w:rsid w:val="00854741"/>
    <w:rsid w:val="00854B04"/>
    <w:rsid w:val="0086390B"/>
    <w:rsid w:val="00872FB4"/>
    <w:rsid w:val="008763F8"/>
    <w:rsid w:val="00877AEF"/>
    <w:rsid w:val="0088030E"/>
    <w:rsid w:val="008813A2"/>
    <w:rsid w:val="00890B4B"/>
    <w:rsid w:val="00891670"/>
    <w:rsid w:val="00892C9B"/>
    <w:rsid w:val="00893E3B"/>
    <w:rsid w:val="008A0D8B"/>
    <w:rsid w:val="008A16B7"/>
    <w:rsid w:val="008A636E"/>
    <w:rsid w:val="008B2810"/>
    <w:rsid w:val="008C2643"/>
    <w:rsid w:val="008D06E9"/>
    <w:rsid w:val="008D0780"/>
    <w:rsid w:val="008D09F5"/>
    <w:rsid w:val="008D1FD6"/>
    <w:rsid w:val="008E4A56"/>
    <w:rsid w:val="008F0EEB"/>
    <w:rsid w:val="008F4AB3"/>
    <w:rsid w:val="00903240"/>
    <w:rsid w:val="00916CB7"/>
    <w:rsid w:val="009174D4"/>
    <w:rsid w:val="0092555B"/>
    <w:rsid w:val="0094078A"/>
    <w:rsid w:val="0094620F"/>
    <w:rsid w:val="0095597E"/>
    <w:rsid w:val="00962C50"/>
    <w:rsid w:val="00964E14"/>
    <w:rsid w:val="00976E9A"/>
    <w:rsid w:val="009829ED"/>
    <w:rsid w:val="00982D3B"/>
    <w:rsid w:val="00987027"/>
    <w:rsid w:val="0099498B"/>
    <w:rsid w:val="009A596A"/>
    <w:rsid w:val="009B1503"/>
    <w:rsid w:val="009B1950"/>
    <w:rsid w:val="009C21B9"/>
    <w:rsid w:val="009C3501"/>
    <w:rsid w:val="009D05BE"/>
    <w:rsid w:val="009D239A"/>
    <w:rsid w:val="009D4A55"/>
    <w:rsid w:val="009D50D9"/>
    <w:rsid w:val="009D6D75"/>
    <w:rsid w:val="009E0F97"/>
    <w:rsid w:val="009E2A29"/>
    <w:rsid w:val="009E5DD6"/>
    <w:rsid w:val="009F3870"/>
    <w:rsid w:val="00A02BD7"/>
    <w:rsid w:val="00A03342"/>
    <w:rsid w:val="00A1415E"/>
    <w:rsid w:val="00A20D57"/>
    <w:rsid w:val="00A2399F"/>
    <w:rsid w:val="00A2420D"/>
    <w:rsid w:val="00A24DF4"/>
    <w:rsid w:val="00A258F3"/>
    <w:rsid w:val="00A31D55"/>
    <w:rsid w:val="00A33E63"/>
    <w:rsid w:val="00A40F73"/>
    <w:rsid w:val="00A4566C"/>
    <w:rsid w:val="00A52A70"/>
    <w:rsid w:val="00A554B9"/>
    <w:rsid w:val="00A61D61"/>
    <w:rsid w:val="00A641DC"/>
    <w:rsid w:val="00A643E4"/>
    <w:rsid w:val="00A65662"/>
    <w:rsid w:val="00A74339"/>
    <w:rsid w:val="00A76DAB"/>
    <w:rsid w:val="00A83E2D"/>
    <w:rsid w:val="00A86D82"/>
    <w:rsid w:val="00A86E51"/>
    <w:rsid w:val="00A96290"/>
    <w:rsid w:val="00AB7A71"/>
    <w:rsid w:val="00AD00A7"/>
    <w:rsid w:val="00AD0F45"/>
    <w:rsid w:val="00AD34B3"/>
    <w:rsid w:val="00AD7201"/>
    <w:rsid w:val="00AD7B5E"/>
    <w:rsid w:val="00AE7E60"/>
    <w:rsid w:val="00AF4028"/>
    <w:rsid w:val="00AF4AE0"/>
    <w:rsid w:val="00AF59AF"/>
    <w:rsid w:val="00B06A7E"/>
    <w:rsid w:val="00B33266"/>
    <w:rsid w:val="00B45C42"/>
    <w:rsid w:val="00B47739"/>
    <w:rsid w:val="00B52BF2"/>
    <w:rsid w:val="00B546B0"/>
    <w:rsid w:val="00B551FD"/>
    <w:rsid w:val="00B61346"/>
    <w:rsid w:val="00B74878"/>
    <w:rsid w:val="00B76850"/>
    <w:rsid w:val="00B81843"/>
    <w:rsid w:val="00B930AD"/>
    <w:rsid w:val="00BB1476"/>
    <w:rsid w:val="00BB2E0E"/>
    <w:rsid w:val="00BB376D"/>
    <w:rsid w:val="00BC4209"/>
    <w:rsid w:val="00BC500E"/>
    <w:rsid w:val="00BD6ABA"/>
    <w:rsid w:val="00BD7424"/>
    <w:rsid w:val="00BF294D"/>
    <w:rsid w:val="00BF39D2"/>
    <w:rsid w:val="00BF75ED"/>
    <w:rsid w:val="00C000FB"/>
    <w:rsid w:val="00C012C6"/>
    <w:rsid w:val="00C016A5"/>
    <w:rsid w:val="00C01CF1"/>
    <w:rsid w:val="00C04343"/>
    <w:rsid w:val="00C10C69"/>
    <w:rsid w:val="00C12C39"/>
    <w:rsid w:val="00C222CC"/>
    <w:rsid w:val="00C32F12"/>
    <w:rsid w:val="00C40262"/>
    <w:rsid w:val="00C4114A"/>
    <w:rsid w:val="00C411CB"/>
    <w:rsid w:val="00C46C40"/>
    <w:rsid w:val="00C51BBB"/>
    <w:rsid w:val="00C62178"/>
    <w:rsid w:val="00C63417"/>
    <w:rsid w:val="00C6430C"/>
    <w:rsid w:val="00C64496"/>
    <w:rsid w:val="00C65E09"/>
    <w:rsid w:val="00C830AD"/>
    <w:rsid w:val="00CA017F"/>
    <w:rsid w:val="00CA062C"/>
    <w:rsid w:val="00CA5B22"/>
    <w:rsid w:val="00CB4D02"/>
    <w:rsid w:val="00CB567D"/>
    <w:rsid w:val="00CB64EE"/>
    <w:rsid w:val="00CB7694"/>
    <w:rsid w:val="00CC07A3"/>
    <w:rsid w:val="00CC330E"/>
    <w:rsid w:val="00CC3DBE"/>
    <w:rsid w:val="00CD0493"/>
    <w:rsid w:val="00CD1622"/>
    <w:rsid w:val="00CD20BA"/>
    <w:rsid w:val="00CD3283"/>
    <w:rsid w:val="00CD6D3E"/>
    <w:rsid w:val="00CE23EA"/>
    <w:rsid w:val="00CF10CD"/>
    <w:rsid w:val="00CF5586"/>
    <w:rsid w:val="00D000CC"/>
    <w:rsid w:val="00D01F73"/>
    <w:rsid w:val="00D037EC"/>
    <w:rsid w:val="00D2628F"/>
    <w:rsid w:val="00D32949"/>
    <w:rsid w:val="00D367F5"/>
    <w:rsid w:val="00D5789D"/>
    <w:rsid w:val="00D72FEE"/>
    <w:rsid w:val="00D83726"/>
    <w:rsid w:val="00D862FB"/>
    <w:rsid w:val="00D9265B"/>
    <w:rsid w:val="00D93032"/>
    <w:rsid w:val="00D9395F"/>
    <w:rsid w:val="00DA41DA"/>
    <w:rsid w:val="00DA46B1"/>
    <w:rsid w:val="00DB1C17"/>
    <w:rsid w:val="00DB302A"/>
    <w:rsid w:val="00DC3EC4"/>
    <w:rsid w:val="00DC7DC3"/>
    <w:rsid w:val="00DD2021"/>
    <w:rsid w:val="00DD2F0E"/>
    <w:rsid w:val="00DD33FF"/>
    <w:rsid w:val="00DE0665"/>
    <w:rsid w:val="00DE077D"/>
    <w:rsid w:val="00DE11F5"/>
    <w:rsid w:val="00DE715C"/>
    <w:rsid w:val="00E0221E"/>
    <w:rsid w:val="00E0799A"/>
    <w:rsid w:val="00E07D3C"/>
    <w:rsid w:val="00E1242F"/>
    <w:rsid w:val="00E2023E"/>
    <w:rsid w:val="00E22826"/>
    <w:rsid w:val="00E40D71"/>
    <w:rsid w:val="00E5043D"/>
    <w:rsid w:val="00E57D02"/>
    <w:rsid w:val="00E601C7"/>
    <w:rsid w:val="00E67DF4"/>
    <w:rsid w:val="00E87E32"/>
    <w:rsid w:val="00E94FD9"/>
    <w:rsid w:val="00E952D5"/>
    <w:rsid w:val="00EA085E"/>
    <w:rsid w:val="00EB24B3"/>
    <w:rsid w:val="00EB6693"/>
    <w:rsid w:val="00EB7E26"/>
    <w:rsid w:val="00EC0438"/>
    <w:rsid w:val="00ED6DA6"/>
    <w:rsid w:val="00EE1CD8"/>
    <w:rsid w:val="00EF65BF"/>
    <w:rsid w:val="00F051A8"/>
    <w:rsid w:val="00F05CC1"/>
    <w:rsid w:val="00F0656C"/>
    <w:rsid w:val="00F12CFE"/>
    <w:rsid w:val="00F13386"/>
    <w:rsid w:val="00F17005"/>
    <w:rsid w:val="00F228CB"/>
    <w:rsid w:val="00F243D0"/>
    <w:rsid w:val="00F5027D"/>
    <w:rsid w:val="00F525EA"/>
    <w:rsid w:val="00F5469C"/>
    <w:rsid w:val="00F55603"/>
    <w:rsid w:val="00F63F5D"/>
    <w:rsid w:val="00F644E0"/>
    <w:rsid w:val="00F67038"/>
    <w:rsid w:val="00F75414"/>
    <w:rsid w:val="00F877D4"/>
    <w:rsid w:val="00F87E4D"/>
    <w:rsid w:val="00F9317A"/>
    <w:rsid w:val="00FB31EC"/>
    <w:rsid w:val="00FB4F18"/>
    <w:rsid w:val="00FC06EC"/>
    <w:rsid w:val="00FD6F77"/>
    <w:rsid w:val="00FE15D8"/>
    <w:rsid w:val="00FF0DA7"/>
    <w:rsid w:val="00FF4061"/>
    <w:rsid w:val="012D69B2"/>
    <w:rsid w:val="01B4B258"/>
    <w:rsid w:val="05A2A001"/>
    <w:rsid w:val="0EA521F6"/>
    <w:rsid w:val="106E682A"/>
    <w:rsid w:val="11135C96"/>
    <w:rsid w:val="1151FD3F"/>
    <w:rsid w:val="1233AC9D"/>
    <w:rsid w:val="185FEB6D"/>
    <w:rsid w:val="1A2D3434"/>
    <w:rsid w:val="22756B76"/>
    <w:rsid w:val="22B3E3C4"/>
    <w:rsid w:val="23341579"/>
    <w:rsid w:val="276891E2"/>
    <w:rsid w:val="27EADDE9"/>
    <w:rsid w:val="29D8C648"/>
    <w:rsid w:val="2C6878AB"/>
    <w:rsid w:val="2CE45A82"/>
    <w:rsid w:val="2F16853E"/>
    <w:rsid w:val="2F454638"/>
    <w:rsid w:val="332B923A"/>
    <w:rsid w:val="33B04042"/>
    <w:rsid w:val="3721D327"/>
    <w:rsid w:val="375E37C7"/>
    <w:rsid w:val="3A227C49"/>
    <w:rsid w:val="3B7436DB"/>
    <w:rsid w:val="4018271E"/>
    <w:rsid w:val="41004A37"/>
    <w:rsid w:val="447872F2"/>
    <w:rsid w:val="4605FB9C"/>
    <w:rsid w:val="493EBCEE"/>
    <w:rsid w:val="5124E0AD"/>
    <w:rsid w:val="51D1B743"/>
    <w:rsid w:val="53D00AD2"/>
    <w:rsid w:val="5CE5FD3D"/>
    <w:rsid w:val="5E13427B"/>
    <w:rsid w:val="620FB1CC"/>
    <w:rsid w:val="631A0AD5"/>
    <w:rsid w:val="646773D0"/>
    <w:rsid w:val="6A1A622B"/>
    <w:rsid w:val="714FA01E"/>
    <w:rsid w:val="72943ED1"/>
    <w:rsid w:val="757BD4BE"/>
    <w:rsid w:val="7B67466D"/>
    <w:rsid w:val="7D5EF01E"/>
    <w:rsid w:val="7D975FAA"/>
    <w:rsid w:val="7DC19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6914"/>
  <w15:chartTrackingRefBased/>
  <w15:docId w15:val="{69A92F99-EA2C-4EDC-BB98-313EAFE2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29"/>
  </w:style>
  <w:style w:type="paragraph" w:styleId="Heading2">
    <w:name w:val="heading 2"/>
    <w:basedOn w:val="Normal"/>
    <w:next w:val="Normal"/>
    <w:link w:val="Heading2Char"/>
    <w:qFormat/>
    <w:rsid w:val="003E6327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E6327"/>
    <w:rPr>
      <w:rFonts w:ascii="Arial" w:eastAsia="Times New Roman" w:hAnsi="Arial" w:cs="Times New Roman"/>
      <w:bCs/>
      <w:sz w:val="24"/>
      <w:szCs w:val="20"/>
      <w:lang w:val="el-GR"/>
    </w:rPr>
  </w:style>
  <w:style w:type="numbering" w:customStyle="1" w:styleId="NoList1">
    <w:name w:val="No List1"/>
    <w:next w:val="NoList"/>
    <w:uiPriority w:val="99"/>
    <w:semiHidden/>
    <w:unhideWhenUsed/>
    <w:rsid w:val="003E6327"/>
  </w:style>
  <w:style w:type="table" w:customStyle="1" w:styleId="TableGrid1">
    <w:name w:val="Table Grid1"/>
    <w:basedOn w:val="TableNormal"/>
    <w:next w:val="TableGrid"/>
    <w:uiPriority w:val="59"/>
    <w:rsid w:val="003E6327"/>
    <w:pPr>
      <w:spacing w:after="0" w:line="240" w:lineRule="auto"/>
    </w:pPr>
    <w:rPr>
      <w:rFonts w:ascii="Arial" w:eastAsia="Times New Roman" w:hAnsi="Arial" w:cs="Calibri"/>
      <w:sz w:val="2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32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27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E6327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3E6327"/>
    <w:rPr>
      <w:lang w:val="en-US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E6327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1"/>
    <w:uiPriority w:val="99"/>
    <w:rsid w:val="003E6327"/>
    <w:rPr>
      <w:lang w:val="en-US"/>
    </w:rPr>
  </w:style>
  <w:style w:type="character" w:customStyle="1" w:styleId="FontStyle46">
    <w:name w:val="Font Style46"/>
    <w:rsid w:val="003E632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"/>
    <w:rsid w:val="003E6327"/>
    <w:pPr>
      <w:widowControl w:val="0"/>
      <w:autoSpaceDE w:val="0"/>
      <w:autoSpaceDN w:val="0"/>
      <w:adjustRightInd w:val="0"/>
      <w:spacing w:after="0" w:line="235" w:lineRule="exact"/>
      <w:ind w:hanging="979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CommentText">
    <w:name w:val="annotation text"/>
    <w:basedOn w:val="Normal"/>
    <w:link w:val="CommentTextChar"/>
    <w:rsid w:val="003E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E63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unhideWhenUsed/>
    <w:rsid w:val="003E6327"/>
    <w:rPr>
      <w:sz w:val="16"/>
      <w:szCs w:val="16"/>
    </w:rPr>
  </w:style>
  <w:style w:type="table" w:customStyle="1" w:styleId="TableGridLight1">
    <w:name w:val="Table Grid Light1"/>
    <w:basedOn w:val="TableNormal"/>
    <w:uiPriority w:val="40"/>
    <w:rsid w:val="003E6327"/>
    <w:pPr>
      <w:spacing w:after="0" w:line="240" w:lineRule="auto"/>
    </w:pPr>
    <w:rPr>
      <w:rFonts w:ascii="Arial" w:eastAsia="Times New Roman" w:hAnsi="Arial" w:cs="Calibri"/>
      <w:sz w:val="28"/>
      <w:lang w:val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3E6327"/>
    <w:pPr>
      <w:spacing w:after="200"/>
    </w:pPr>
    <w:rPr>
      <w:rFonts w:ascii="Arial" w:hAnsi="Arial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Revision1">
    <w:name w:val="Revision1"/>
    <w:next w:val="Revision"/>
    <w:hidden/>
    <w:uiPriority w:val="99"/>
    <w:semiHidden/>
    <w:rsid w:val="003E6327"/>
    <w:pPr>
      <w:spacing w:after="0" w:line="240" w:lineRule="auto"/>
    </w:pPr>
    <w:rPr>
      <w:rFonts w:ascii="Arial" w:eastAsia="Times New Roman" w:hAnsi="Arial" w:cs="Calibri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3E6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E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8">
    <w:name w:val="Style8"/>
    <w:basedOn w:val="Normal"/>
    <w:rsid w:val="003E632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">
    <w:name w:val="Style10"/>
    <w:basedOn w:val="Normal"/>
    <w:rsid w:val="003E6327"/>
    <w:pPr>
      <w:widowControl w:val="0"/>
      <w:autoSpaceDE w:val="0"/>
      <w:autoSpaceDN w:val="0"/>
      <w:adjustRightInd w:val="0"/>
      <w:spacing w:after="0" w:line="230" w:lineRule="exact"/>
      <w:ind w:hanging="149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8">
    <w:name w:val="Style18"/>
    <w:basedOn w:val="Normal"/>
    <w:rsid w:val="003E6327"/>
    <w:pPr>
      <w:widowControl w:val="0"/>
      <w:autoSpaceDE w:val="0"/>
      <w:autoSpaceDN w:val="0"/>
      <w:adjustRightInd w:val="0"/>
      <w:spacing w:after="0" w:line="209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64">
    <w:name w:val="Font Style64"/>
    <w:basedOn w:val="DefaultParagraphFont"/>
    <w:rsid w:val="003E6327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DefaultParagraphFont"/>
    <w:rsid w:val="003E63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2">
    <w:name w:val="Font Style62"/>
    <w:basedOn w:val="DefaultParagraphFont"/>
    <w:rsid w:val="003E6327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Normal"/>
    <w:rsid w:val="003E632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TOC1">
    <w:name w:val="toc 1"/>
    <w:basedOn w:val="Normal"/>
    <w:next w:val="Normal"/>
    <w:autoRedefine/>
    <w:uiPriority w:val="39"/>
    <w:rsid w:val="003E6327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6327"/>
    <w:rPr>
      <w:color w:val="808080"/>
    </w:rPr>
  </w:style>
  <w:style w:type="character" w:styleId="Emphasis">
    <w:name w:val="Emphasis"/>
    <w:basedOn w:val="DefaultParagraphFont"/>
    <w:uiPriority w:val="20"/>
    <w:qFormat/>
    <w:rsid w:val="003E6327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3E6327"/>
  </w:style>
  <w:style w:type="character" w:customStyle="1" w:styleId="Hyperlink1">
    <w:name w:val="Hyperlink1"/>
    <w:basedOn w:val="DefaultParagraphFont"/>
    <w:uiPriority w:val="99"/>
    <w:unhideWhenUsed/>
    <w:rsid w:val="003E632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327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E6327"/>
    <w:rPr>
      <w:color w:val="800080"/>
      <w:u w:val="single"/>
    </w:rPr>
  </w:style>
  <w:style w:type="paragraph" w:customStyle="1" w:styleId="toc-instrument">
    <w:name w:val="toc-instrument"/>
    <w:basedOn w:val="Normal"/>
    <w:rsid w:val="003E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toc-instrument-enum">
    <w:name w:val="toc-instrument-enum"/>
    <w:basedOn w:val="DefaultParagraphFont"/>
    <w:rsid w:val="003E6327"/>
  </w:style>
  <w:style w:type="paragraph" w:styleId="Header">
    <w:name w:val="header"/>
    <w:basedOn w:val="Normal"/>
    <w:link w:val="HeaderChar1"/>
    <w:uiPriority w:val="99"/>
    <w:unhideWhenUsed/>
    <w:rsid w:val="003E6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E6327"/>
  </w:style>
  <w:style w:type="paragraph" w:styleId="Footer">
    <w:name w:val="footer"/>
    <w:basedOn w:val="Normal"/>
    <w:link w:val="FooterChar1"/>
    <w:uiPriority w:val="99"/>
    <w:unhideWhenUsed/>
    <w:rsid w:val="003E6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E63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27"/>
    <w:pPr>
      <w:spacing w:after="160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E63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E632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E63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3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d12891-783c-4915-b246-78fc867aa9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C6D4FEE961E438C34C9D82FF34315" ma:contentTypeVersion="16" ma:contentTypeDescription="Create a new document." ma:contentTypeScope="" ma:versionID="d9eec35536decba1d85ec2f8086b233d">
  <xsd:schema xmlns:xsd="http://www.w3.org/2001/XMLSchema" xmlns:xs="http://www.w3.org/2001/XMLSchema" xmlns:p="http://schemas.microsoft.com/office/2006/metadata/properties" xmlns:ns3="24d12891-783c-4915-b246-78fc867aa980" xmlns:ns4="1e42c077-9876-4ae1-929a-11ab649628f1" targetNamespace="http://schemas.microsoft.com/office/2006/metadata/properties" ma:root="true" ma:fieldsID="b4143dea32260873e05799e91277cf4a" ns3:_="" ns4:_="">
    <xsd:import namespace="24d12891-783c-4915-b246-78fc867aa980"/>
    <xsd:import namespace="1e42c077-9876-4ae1-929a-11ab64962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12891-783c-4915-b246-78fc867aa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c077-9876-4ae1-929a-11ab64962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ECA3B-8F54-4255-85EB-CF62A8D26EDB}">
  <ds:schemaRefs>
    <ds:schemaRef ds:uri="http://schemas.microsoft.com/office/2006/metadata/properties"/>
    <ds:schemaRef ds:uri="http://schemas.microsoft.com/office/infopath/2007/PartnerControls"/>
    <ds:schemaRef ds:uri="24d12891-783c-4915-b246-78fc867aa980"/>
  </ds:schemaRefs>
</ds:datastoreItem>
</file>

<file path=customXml/itemProps2.xml><?xml version="1.0" encoding="utf-8"?>
<ds:datastoreItem xmlns:ds="http://schemas.openxmlformats.org/officeDocument/2006/customXml" ds:itemID="{ACC5F528-DBA8-4BB1-BAA9-33DD6F18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B022C-1283-487D-8328-1D1769A3F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9407A-F85A-4735-A602-0D5643781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12891-783c-4915-b246-78fc867aa980"/>
    <ds:schemaRef ds:uri="1e42c077-9876-4ae1-929a-11ab64962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Service</dc:creator>
  <cp:keywords/>
  <dc:description/>
  <cp:lastModifiedBy>Petros Charalambides</cp:lastModifiedBy>
  <cp:revision>2</cp:revision>
  <cp:lastPrinted>2024-08-22T16:53:00Z</cp:lastPrinted>
  <dcterms:created xsi:type="dcterms:W3CDTF">2025-02-18T11:36:00Z</dcterms:created>
  <dcterms:modified xsi:type="dcterms:W3CDTF">2025-02-18T11:36:00Z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0x010100588C6D4FEE961E438C34C9D82FF34315</vt:lpwstr>
  </property>
</Properties>
</file>